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01a848c0d4b2c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40980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GRADSKA KNJIŽNICA ZLATAR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59.454,34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70.764,76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50.200,05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54.703,64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9.254,29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16.061,12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173,6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10.331,50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11.203,91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10.331,50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11.203,91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108,4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VIŠAK/MANJAK PRIMITAKA OD FINANCIJSKE IMOVINE I ZADUŽIVANJA (šifre 8-5,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X003, 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I PRIMITAKA (šifre X678-Y345)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4.857,21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Gradska knjižnica Zlatar je proračunski korisnik jedinice lokalne samouprave - Grada Zlatara, a ostvaruje prihode osim iz nadležnog proračuna i iz državnog proračuna i županijskog proračuna te prihode od usluga.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59.454,34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70.764,76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119,0</w:t>
            </w:r>
          </w:p>
        </w:tc>
      </w:tr>
    </w:tbl>
    <w:p>
      <w:pPr>
        <w:spacing w:before="0" w:after="0"/>
      </w:pPr>
    </w:p>
    <w:p>
      <w:r>
        <w:t xml:space="preserve">Prihodi poslovanja u iznosu od 70.764,76 eur veći su za 19% u odnosu na isto razdoblje 2025. godine zbog više primljenih sredstava iz nadležnog proračuna jedinice lokalne samouprave i više primljenih sredstava od Ministarstva kulture i medija.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50.200,05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54.703,64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109,0</w:t>
            </w:r>
          </w:p>
        </w:tc>
      </w:tr>
    </w:tbl>
    <w:p>
      <w:pPr>
        <w:spacing w:before="0" w:after="0"/>
      </w:pPr>
    </w:p>
    <w:p>
      <w:r>
        <w:t xml:space="preserve">Rashodi poslovanja u iznosu od 54.703,64 eur veći su za 9% u odnosu na isto razdoblje 2025. godine u najvećem dijelu zbog ostalih rashoda za zaposlene.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2.466,00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9.572,05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388,2</w:t>
            </w:r>
          </w:p>
        </w:tc>
      </w:tr>
    </w:tbl>
    <w:p>
      <w:pPr>
        <w:spacing w:before="0" w:after="0"/>
      </w:pPr>
    </w:p>
    <w:p>
      <w:r>
        <w:t xml:space="preserve">Ostali rashodi za zaposlene od 9.572,05 eur veći su za 288,2% u odnosu na isto razdoblje 2025. godine zbog isplate otpremnine za odlazak u mirovinu ravnateljice Knjižnice.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9.254,29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16.061,12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173,6</w:t>
            </w:r>
          </w:p>
        </w:tc>
      </w:tr>
    </w:tbl>
    <w:p>
      <w:pPr>
        <w:spacing w:before="0" w:after="0"/>
      </w:pPr>
    </w:p>
    <w:p>
      <w:r>
        <w:t xml:space="preserve">Višak prihoda poslovanja od 16.061,12 eur rezultat je prihoda poslovanja od 70.764,76 eur koji su dobiveni osim za rashode poslovanja i za nabavu nefinancijske imovine.  Prihodi poslovanja za rashode poslovanja iznose 53.881,96 eur,  a za nabavu nefinancijske imovine iznose 16.882,80 eur.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10.331,50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11.203,91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108,4</w:t>
            </w:r>
          </w:p>
        </w:tc>
      </w:tr>
    </w:tbl>
    <w:p>
      <w:pPr>
        <w:spacing w:before="0" w:after="0"/>
      </w:pPr>
    </w:p>
    <w:p>
      <w:r>
        <w:t xml:space="preserve">Manjak prihoda od nefinancijske imovine od 11.203,91 eur rezultat je rashoda za nabavu nefinancijske imovine - knjiga za Knjižnicu i uredske opreme koji se financiraju iz prihoda poslovanja odnosno kapitalnih pomoći iz nenadležnih proračuna Ministarstva kulture i medija te Županijskog proračuna i od prihoda za nabavu knjiga iz nadležnog proračuna Grada Zlatara.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UKUPAN VIŠAK PRIHODA (šifre X067-Y034)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4.857,21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Ukupan višak prihoda od 4.857,21 eur rezultat je nepotrošenih sredstava dobivenih iz nenadležnih proračuna za nabavu nefinancijske imovine, koja sredstva će biti potrošena do kraja tekuće godine.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Višak prihoda i primitaka raspoloživ u sljedećem razdoblju (šifre X005 + '9221-9222' - Y005 - '9222-9221')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X006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1.935,44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538,38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27,8</w:t>
            </w:r>
          </w:p>
        </w:tc>
      </w:tr>
    </w:tbl>
    <w:p>
      <w:pPr>
        <w:spacing w:before="0" w:after="0"/>
      </w:pPr>
    </w:p>
    <w:p>
      <w:r>
        <w:t xml:space="preserve">Višak prihoda i primitaka raspoloživ u sljedećem razdoblju iznosi 538,38 eur, a rezultat je viška prihoda obračunskog razdoblja od 4.857,21 eur i prenesenog manjka iz 2025. godine u iznosu od 4.318,83 eur.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Nema dospjelih obveza na dan 30.06.2026.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8.017,96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Sve obveze na dan 30.06.2026. godine u iznosu od 8.017,96 eur su nedospjele.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71ec638d074bb6" /></Relationships>
</file>